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4124" w:rsidRPr="0097575C" w:rsidRDefault="0097575C" w:rsidP="0097575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7575C">
        <w:rPr>
          <w:rFonts w:ascii="Times New Roman" w:hAnsi="Times New Roman" w:cs="Times New Roman"/>
          <w:b/>
          <w:sz w:val="24"/>
          <w:szCs w:val="24"/>
        </w:rPr>
        <w:t>A</w:t>
      </w:r>
      <w:r w:rsidR="00292E8D">
        <w:rPr>
          <w:rFonts w:ascii="Times New Roman" w:hAnsi="Times New Roman" w:cs="Times New Roman"/>
          <w:b/>
          <w:sz w:val="24"/>
          <w:szCs w:val="24"/>
        </w:rPr>
        <w:t>NEXO D</w:t>
      </w:r>
    </w:p>
    <w:p w:rsidR="0097575C" w:rsidRPr="0097575C" w:rsidRDefault="0097575C" w:rsidP="0097575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575C" w:rsidRPr="0097575C" w:rsidRDefault="0097575C" w:rsidP="0097575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7575C">
        <w:rPr>
          <w:rFonts w:ascii="Times New Roman" w:hAnsi="Times New Roman" w:cs="Times New Roman"/>
          <w:b/>
          <w:sz w:val="24"/>
          <w:szCs w:val="24"/>
        </w:rPr>
        <w:t xml:space="preserve">DIRETRIZES PARA OUTORGA E LICENCIAMENTO AMBIENTAL NAS BACIAS PCJ </w:t>
      </w:r>
    </w:p>
    <w:p w:rsidR="0097575C" w:rsidRPr="0097575C" w:rsidRDefault="0097575C" w:rsidP="0097575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575C" w:rsidRDefault="0097575C" w:rsidP="0097575C">
      <w:pPr>
        <w:jc w:val="both"/>
        <w:rPr>
          <w:rFonts w:ascii="Times New Roman" w:hAnsi="Times New Roman" w:cs="Times New Roman"/>
          <w:sz w:val="24"/>
          <w:szCs w:val="24"/>
        </w:rPr>
      </w:pPr>
      <w:r w:rsidRPr="0097575C">
        <w:rPr>
          <w:rFonts w:ascii="Times New Roman" w:hAnsi="Times New Roman" w:cs="Times New Roman"/>
          <w:sz w:val="24"/>
          <w:szCs w:val="24"/>
        </w:rPr>
        <w:t xml:space="preserve">Este documento reúne o conjunto de diretrizes apontando limitações para lançamento de cargas orgânicas e para emissão de outorgas </w:t>
      </w:r>
      <w:r w:rsidR="00F74124">
        <w:rPr>
          <w:rFonts w:ascii="Times New Roman" w:hAnsi="Times New Roman" w:cs="Times New Roman"/>
          <w:sz w:val="24"/>
          <w:szCs w:val="24"/>
        </w:rPr>
        <w:t>de direito de</w:t>
      </w:r>
      <w:r w:rsidRPr="0097575C">
        <w:rPr>
          <w:rFonts w:ascii="Times New Roman" w:hAnsi="Times New Roman" w:cs="Times New Roman"/>
          <w:sz w:val="24"/>
          <w:szCs w:val="24"/>
        </w:rPr>
        <w:t xml:space="preserve"> uso dos recursos hídricos nas bacias PCJ. </w:t>
      </w:r>
      <w:r w:rsidR="00F74124">
        <w:rPr>
          <w:rFonts w:ascii="Times New Roman" w:hAnsi="Times New Roman" w:cs="Times New Roman"/>
          <w:sz w:val="24"/>
          <w:szCs w:val="24"/>
        </w:rPr>
        <w:t xml:space="preserve">Os </w:t>
      </w:r>
      <w:r w:rsidRPr="0097575C">
        <w:rPr>
          <w:rFonts w:ascii="Times New Roman" w:hAnsi="Times New Roman" w:cs="Times New Roman"/>
          <w:sz w:val="24"/>
          <w:szCs w:val="24"/>
        </w:rPr>
        <w:t>parâmetros foram estabelecidos em c</w:t>
      </w:r>
      <w:r>
        <w:rPr>
          <w:rFonts w:ascii="Times New Roman" w:hAnsi="Times New Roman" w:cs="Times New Roman"/>
          <w:sz w:val="24"/>
          <w:szCs w:val="24"/>
        </w:rPr>
        <w:t>onsonância</w:t>
      </w:r>
      <w:r w:rsidR="00F74124">
        <w:rPr>
          <w:rFonts w:ascii="Times New Roman" w:hAnsi="Times New Roman" w:cs="Times New Roman"/>
          <w:sz w:val="24"/>
          <w:szCs w:val="24"/>
        </w:rPr>
        <w:t xml:space="preserve"> com as projeções e cenários adotados pelo Plano das Bacias PCJ 2010 a 2020. Todos os dados aqui utilizados, assim como o referencial metodológico para os mesmo, encontram-se publicados no Relatório Final do Plano das Bacias PCJ 2010 a 2020, disponível no seguinte endereço eletrônico: </w:t>
      </w:r>
      <w:r w:rsidR="00E91936" w:rsidRPr="00E91936">
        <w:rPr>
          <w:rFonts w:ascii="Times New Roman" w:hAnsi="Times New Roman" w:cs="Times New Roman"/>
          <w:sz w:val="24"/>
          <w:szCs w:val="24"/>
        </w:rPr>
        <w:t>http://www.comitepcj.sp.gov.br</w:t>
      </w:r>
      <w:r w:rsidR="00E91936">
        <w:rPr>
          <w:rFonts w:ascii="Times New Roman" w:hAnsi="Times New Roman" w:cs="Times New Roman"/>
          <w:sz w:val="24"/>
          <w:szCs w:val="24"/>
        </w:rPr>
        <w:t xml:space="preserve"> </w:t>
      </w:r>
      <w:r w:rsidR="00F7412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1F3EA3" w:rsidRDefault="001F3EA3" w:rsidP="0097575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91936" w:rsidRPr="001F3EA3" w:rsidRDefault="001F3EA3" w:rsidP="001F3EA3">
      <w:pPr>
        <w:pStyle w:val="PargrafodaLista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F3EA3">
        <w:rPr>
          <w:rFonts w:ascii="Times New Roman" w:hAnsi="Times New Roman" w:cs="Times New Roman"/>
          <w:b/>
          <w:sz w:val="24"/>
          <w:szCs w:val="24"/>
        </w:rPr>
        <w:t>Divisão das Bacias PCJ em Zonas:</w:t>
      </w:r>
    </w:p>
    <w:p w:rsidR="001F3EA3" w:rsidRDefault="001F3EA3" w:rsidP="001F3EA3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fim de subsidiar as atividade de planejamento e gerenciamento dos recursos hídricos, as Bacias PCJ foram divididas em 37 compartimentos hidrográficos. Cada um deles recebeu uma numeração e são apresentados no mapa </w:t>
      </w:r>
      <w:r w:rsidR="00A6093C">
        <w:rPr>
          <w:rFonts w:ascii="Times New Roman" w:hAnsi="Times New Roman" w:cs="Times New Roman"/>
          <w:sz w:val="24"/>
          <w:szCs w:val="24"/>
        </w:rPr>
        <w:t>a seguir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1F3EA3" w:rsidRDefault="001F3EA3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F3EA3" w:rsidRDefault="001F3EA3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F3EA3" w:rsidRDefault="001F3EA3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F3EA3" w:rsidRDefault="001F3EA3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F3EA3" w:rsidRDefault="001F3EA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1F3EA3" w:rsidRDefault="001F3EA3" w:rsidP="001F3EA3">
      <w:pPr>
        <w:jc w:val="both"/>
        <w:rPr>
          <w:rFonts w:ascii="Times New Roman" w:hAnsi="Times New Roman" w:cs="Times New Roman"/>
          <w:sz w:val="24"/>
          <w:szCs w:val="24"/>
        </w:rPr>
        <w:sectPr w:rsidR="001F3EA3" w:rsidSect="00EB7695">
          <w:footerReference w:type="default" r:id="rId7"/>
          <w:pgSz w:w="11906" w:h="16838"/>
          <w:pgMar w:top="1417" w:right="1701" w:bottom="1417" w:left="1701" w:header="708" w:footer="708" w:gutter="0"/>
          <w:cols w:space="708"/>
          <w:docGrid w:linePitch="360"/>
        </w:sectPr>
      </w:pPr>
    </w:p>
    <w:p w:rsidR="001F3EA3" w:rsidRDefault="00F51F90" w:rsidP="004D489B">
      <w:pPr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9971522" cy="5419725"/>
            <wp:effectExtent l="1905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8565" cy="5423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EA3" w:rsidRDefault="001F3EA3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C328B" w:rsidRDefault="001C328B">
      <w:pPr>
        <w:rPr>
          <w:rFonts w:ascii="Times New Roman" w:hAnsi="Times New Roman" w:cs="Times New Roman"/>
          <w:sz w:val="24"/>
          <w:szCs w:val="24"/>
        </w:rPr>
        <w:sectPr w:rsidR="001C328B" w:rsidSect="001F3EA3">
          <w:pgSz w:w="16838" w:h="11906" w:orient="landscape"/>
          <w:pgMar w:top="993" w:right="1418" w:bottom="993" w:left="1418" w:header="709" w:footer="709" w:gutter="0"/>
          <w:cols w:space="708"/>
          <w:docGrid w:linePitch="360"/>
        </w:sectPr>
      </w:pPr>
    </w:p>
    <w:p w:rsidR="001F3EA3" w:rsidRDefault="001C328B" w:rsidP="001C328B">
      <w:pPr>
        <w:pStyle w:val="PargrafodaLista"/>
        <w:numPr>
          <w:ilvl w:val="0"/>
          <w:numId w:val="1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Estabelecimento</w:t>
      </w:r>
      <w:r w:rsidRPr="001C328B">
        <w:rPr>
          <w:rFonts w:ascii="Times New Roman" w:hAnsi="Times New Roman" w:cs="Times New Roman"/>
          <w:b/>
          <w:sz w:val="24"/>
          <w:szCs w:val="24"/>
        </w:rPr>
        <w:t xml:space="preserve"> de </w:t>
      </w:r>
      <w:r>
        <w:rPr>
          <w:rFonts w:ascii="Times New Roman" w:hAnsi="Times New Roman" w:cs="Times New Roman"/>
          <w:b/>
          <w:sz w:val="24"/>
          <w:szCs w:val="24"/>
        </w:rPr>
        <w:t xml:space="preserve">Vazões </w:t>
      </w:r>
      <w:r w:rsidRPr="001C328B">
        <w:rPr>
          <w:rFonts w:ascii="Times New Roman" w:hAnsi="Times New Roman" w:cs="Times New Roman"/>
          <w:b/>
          <w:sz w:val="24"/>
          <w:szCs w:val="24"/>
        </w:rPr>
        <w:t>Máxim</w:t>
      </w:r>
      <w:r>
        <w:rPr>
          <w:rFonts w:ascii="Times New Roman" w:hAnsi="Times New Roman" w:cs="Times New Roman"/>
          <w:b/>
          <w:sz w:val="24"/>
          <w:szCs w:val="24"/>
        </w:rPr>
        <w:t>a</w:t>
      </w:r>
      <w:r w:rsidRPr="001C328B">
        <w:rPr>
          <w:rFonts w:ascii="Times New Roman" w:hAnsi="Times New Roman" w:cs="Times New Roman"/>
          <w:b/>
          <w:sz w:val="24"/>
          <w:szCs w:val="24"/>
        </w:rPr>
        <w:t>s Outorgáveis para as Zonas</w:t>
      </w:r>
    </w:p>
    <w:tbl>
      <w:tblPr>
        <w:tblpPr w:leftFromText="141" w:rightFromText="141" w:vertAnchor="page" w:horzAnchor="margin" w:tblpXSpec="center" w:tblpY="2911"/>
        <w:tblW w:w="1691" w:type="pct"/>
        <w:tblCellMar>
          <w:left w:w="70" w:type="dxa"/>
          <w:right w:w="70" w:type="dxa"/>
        </w:tblCellMar>
        <w:tblLook w:val="04A0"/>
      </w:tblPr>
      <w:tblGrid>
        <w:gridCol w:w="1006"/>
        <w:gridCol w:w="2397"/>
      </w:tblGrid>
      <w:tr w:rsidR="00A6093C" w:rsidRPr="000B6823" w:rsidTr="00A6093C">
        <w:trPr>
          <w:trHeight w:val="300"/>
        </w:trPr>
        <w:tc>
          <w:tcPr>
            <w:tcW w:w="1478" w:type="pct"/>
            <w:vMerge w:val="restart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333399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FFFFFF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b/>
                <w:bCs/>
                <w:color w:val="FFFFFF"/>
                <w:sz w:val="18"/>
                <w:szCs w:val="18"/>
                <w:lang w:eastAsia="pt-BR"/>
              </w:rPr>
              <w:t>Zona</w:t>
            </w:r>
          </w:p>
        </w:tc>
        <w:tc>
          <w:tcPr>
            <w:tcW w:w="3522" w:type="pct"/>
            <w:vMerge w:val="restart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333399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FFFFFF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b/>
                <w:bCs/>
                <w:color w:val="FFFFFF"/>
                <w:sz w:val="18"/>
                <w:szCs w:val="18"/>
                <w:lang w:eastAsia="pt-BR"/>
              </w:rPr>
              <w:t>Vazão Máxima Outorgável (m3/s)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vMerge/>
            <w:tcBorders>
              <w:top w:val="nil"/>
              <w:left w:val="nil"/>
              <w:bottom w:val="single" w:sz="4" w:space="0" w:color="FFFFFF"/>
              <w:right w:val="nil"/>
            </w:tcBorders>
            <w:vAlign w:val="center"/>
          </w:tcPr>
          <w:p w:rsidR="00A6093C" w:rsidRPr="000B6823" w:rsidRDefault="00A6093C" w:rsidP="00A6093C">
            <w:pPr>
              <w:spacing w:after="0" w:line="240" w:lineRule="auto"/>
              <w:rPr>
                <w:rFonts w:eastAsia="Times New Roman"/>
                <w:b/>
                <w:bCs/>
                <w:color w:val="FFFFFF"/>
                <w:sz w:val="18"/>
                <w:szCs w:val="18"/>
                <w:lang w:eastAsia="pt-BR"/>
              </w:rPr>
            </w:pPr>
          </w:p>
        </w:tc>
        <w:tc>
          <w:tcPr>
            <w:tcW w:w="3522" w:type="pct"/>
            <w:vMerge/>
            <w:tcBorders>
              <w:top w:val="nil"/>
              <w:left w:val="nil"/>
              <w:bottom w:val="single" w:sz="4" w:space="0" w:color="FFFFFF"/>
              <w:right w:val="nil"/>
            </w:tcBorders>
            <w:vAlign w:val="center"/>
          </w:tcPr>
          <w:p w:rsidR="00A6093C" w:rsidRPr="000B6823" w:rsidRDefault="00A6093C" w:rsidP="00A6093C">
            <w:pPr>
              <w:spacing w:after="0" w:line="240" w:lineRule="auto"/>
              <w:rPr>
                <w:rFonts w:eastAsia="Times New Roman"/>
                <w:b/>
                <w:bCs/>
                <w:color w:val="FFFFFF"/>
                <w:sz w:val="18"/>
                <w:szCs w:val="18"/>
                <w:lang w:eastAsia="pt-BR"/>
              </w:rPr>
            </w:pP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vMerge/>
            <w:tcBorders>
              <w:top w:val="nil"/>
              <w:left w:val="nil"/>
              <w:bottom w:val="single" w:sz="4" w:space="0" w:color="FFFFFF"/>
              <w:right w:val="nil"/>
            </w:tcBorders>
            <w:vAlign w:val="center"/>
          </w:tcPr>
          <w:p w:rsidR="00A6093C" w:rsidRPr="000B6823" w:rsidRDefault="00A6093C" w:rsidP="00A6093C">
            <w:pPr>
              <w:spacing w:after="0" w:line="240" w:lineRule="auto"/>
              <w:rPr>
                <w:rFonts w:eastAsia="Times New Roman"/>
                <w:b/>
                <w:bCs/>
                <w:color w:val="FFFFFF"/>
                <w:sz w:val="18"/>
                <w:szCs w:val="18"/>
                <w:lang w:eastAsia="pt-BR"/>
              </w:rPr>
            </w:pPr>
          </w:p>
        </w:tc>
        <w:tc>
          <w:tcPr>
            <w:tcW w:w="3522" w:type="pct"/>
            <w:vMerge/>
            <w:tcBorders>
              <w:top w:val="nil"/>
              <w:left w:val="nil"/>
              <w:bottom w:val="single" w:sz="4" w:space="0" w:color="FFFFFF"/>
              <w:right w:val="nil"/>
            </w:tcBorders>
            <w:vAlign w:val="center"/>
          </w:tcPr>
          <w:p w:rsidR="00A6093C" w:rsidRPr="000B6823" w:rsidRDefault="00A6093C" w:rsidP="00A6093C">
            <w:pPr>
              <w:spacing w:after="0" w:line="240" w:lineRule="auto"/>
              <w:rPr>
                <w:rFonts w:eastAsia="Times New Roman"/>
                <w:b/>
                <w:bCs/>
                <w:color w:val="FFFFFF"/>
                <w:sz w:val="18"/>
                <w:szCs w:val="18"/>
                <w:lang w:eastAsia="pt-BR"/>
              </w:rPr>
            </w:pP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1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3,82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2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1,49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3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0,54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4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2,09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5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2,53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6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0,95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7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1,05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8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0,89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9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4,80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10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2,58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11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0,09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12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0,64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13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0,91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14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0,50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15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0,16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16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0,44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17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1,33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18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0,07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19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1,90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20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0,35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21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1,06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22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4,30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23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0,32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24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0,73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25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0,40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26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1,83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27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0,09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28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0,26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29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0,40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30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0,31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31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1,03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32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0,30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33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0,21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34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0,43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35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0,60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36</w:t>
            </w:r>
          </w:p>
        </w:tc>
        <w:tc>
          <w:tcPr>
            <w:tcW w:w="352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0,45</w:t>
            </w:r>
          </w:p>
        </w:tc>
      </w:tr>
      <w:tr w:rsidR="00A6093C" w:rsidRPr="000B6823" w:rsidTr="00A6093C">
        <w:trPr>
          <w:trHeight w:val="300"/>
        </w:trPr>
        <w:tc>
          <w:tcPr>
            <w:tcW w:w="1478" w:type="pct"/>
            <w:tcBorders>
              <w:top w:val="single" w:sz="4" w:space="0" w:color="auto"/>
              <w:left w:val="nil"/>
              <w:bottom w:val="single" w:sz="12" w:space="0" w:color="auto"/>
              <w:right w:val="nil"/>
            </w:tcBorders>
            <w:shd w:val="clear" w:color="auto" w:fill="auto"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sz w:val="18"/>
                <w:szCs w:val="18"/>
                <w:lang w:eastAsia="pt-BR"/>
              </w:rPr>
              <w:t>37</w:t>
            </w:r>
          </w:p>
        </w:tc>
        <w:tc>
          <w:tcPr>
            <w:tcW w:w="3522" w:type="pct"/>
            <w:tcBorders>
              <w:top w:val="single" w:sz="4" w:space="0" w:color="auto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</w:tcPr>
          <w:p w:rsidR="00A6093C" w:rsidRPr="000B6823" w:rsidRDefault="00A6093C" w:rsidP="00A6093C">
            <w:pPr>
              <w:spacing w:after="0" w:line="240" w:lineRule="auto"/>
              <w:jc w:val="center"/>
              <w:rPr>
                <w:rFonts w:eastAsia="Times New Roman"/>
                <w:color w:val="000000"/>
                <w:sz w:val="18"/>
                <w:szCs w:val="18"/>
                <w:lang w:eastAsia="pt-BR"/>
              </w:rPr>
            </w:pPr>
            <w:r w:rsidRPr="000B6823">
              <w:rPr>
                <w:rFonts w:eastAsia="Times New Roman"/>
                <w:color w:val="000000"/>
                <w:sz w:val="18"/>
                <w:szCs w:val="18"/>
                <w:lang w:eastAsia="pt-BR"/>
              </w:rPr>
              <w:t>0,61</w:t>
            </w:r>
          </w:p>
        </w:tc>
      </w:tr>
    </w:tbl>
    <w:p w:rsidR="001C328B" w:rsidRPr="00A6093C" w:rsidRDefault="001C328B" w:rsidP="00A6093C">
      <w:pPr>
        <w:jc w:val="both"/>
        <w:rPr>
          <w:rFonts w:ascii="Times New Roman" w:hAnsi="Times New Roman" w:cs="Times New Roman"/>
          <w:sz w:val="24"/>
          <w:szCs w:val="24"/>
        </w:rPr>
      </w:pPr>
      <w:r w:rsidRPr="00A6093C">
        <w:rPr>
          <w:rFonts w:ascii="Times New Roman" w:hAnsi="Times New Roman" w:cs="Times New Roman"/>
          <w:sz w:val="24"/>
          <w:szCs w:val="24"/>
        </w:rPr>
        <w:t xml:space="preserve">Com base na </w:t>
      </w:r>
      <w:r w:rsidR="00A6093C">
        <w:rPr>
          <w:rFonts w:ascii="Times New Roman" w:hAnsi="Times New Roman" w:cs="Times New Roman"/>
          <w:sz w:val="24"/>
          <w:szCs w:val="24"/>
        </w:rPr>
        <w:t>disponibilidade hídrica, no consumo de água pelos usuários e</w:t>
      </w:r>
      <w:r w:rsidRPr="00A6093C">
        <w:rPr>
          <w:rFonts w:ascii="Times New Roman" w:hAnsi="Times New Roman" w:cs="Times New Roman"/>
          <w:sz w:val="24"/>
          <w:szCs w:val="24"/>
        </w:rPr>
        <w:t xml:space="preserve"> no estabelecimento de projeções de demanda, foram determinados valores de vazão que podem ser outorgados para cada uma das zonas, conforme </w:t>
      </w:r>
      <w:r w:rsidR="00A6093C">
        <w:rPr>
          <w:rFonts w:ascii="Times New Roman" w:hAnsi="Times New Roman" w:cs="Times New Roman"/>
          <w:sz w:val="24"/>
          <w:szCs w:val="24"/>
        </w:rPr>
        <w:t xml:space="preserve">segue: </w:t>
      </w:r>
    </w:p>
    <w:p w:rsidR="001C328B" w:rsidRPr="001C328B" w:rsidRDefault="001C328B" w:rsidP="001C328B">
      <w:pPr>
        <w:rPr>
          <w:rFonts w:ascii="Times New Roman" w:hAnsi="Times New Roman" w:cs="Times New Roman"/>
          <w:b/>
          <w:sz w:val="24"/>
          <w:szCs w:val="24"/>
        </w:rPr>
      </w:pPr>
    </w:p>
    <w:p w:rsidR="001F3EA3" w:rsidRDefault="001F3EA3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A6093C">
      <w:pPr>
        <w:pStyle w:val="PargrafodaLista"/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A6093C" w:rsidP="00A6093C">
      <w:pPr>
        <w:pStyle w:val="PargrafodaLista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A6093C">
        <w:rPr>
          <w:rFonts w:ascii="Times New Roman" w:hAnsi="Times New Roman" w:cs="Times New Roman"/>
          <w:b/>
          <w:sz w:val="24"/>
          <w:szCs w:val="24"/>
        </w:rPr>
        <w:lastRenderedPageBreak/>
        <w:t>Estabelecimento  de Carga Máxima Alocável por Zona</w:t>
      </w:r>
    </w:p>
    <w:p w:rsidR="00A6093C" w:rsidRPr="00A6093C" w:rsidRDefault="00A6093C" w:rsidP="00A6093C">
      <w:pPr>
        <w:pStyle w:val="PargrafodaLista"/>
        <w:numPr>
          <w:ilvl w:val="1"/>
          <w:numId w:val="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Ano de 2008</w:t>
      </w:r>
    </w:p>
    <w:p w:rsidR="00A6093C" w:rsidRDefault="00A6093C" w:rsidP="00A6093C">
      <w:pPr>
        <w:jc w:val="both"/>
        <w:rPr>
          <w:rFonts w:ascii="Times New Roman" w:hAnsi="Times New Roman" w:cs="Times New Roman"/>
          <w:sz w:val="24"/>
          <w:szCs w:val="24"/>
        </w:rPr>
      </w:pPr>
      <w:r w:rsidRPr="00A6093C">
        <w:rPr>
          <w:rFonts w:ascii="Times New Roman" w:hAnsi="Times New Roman" w:cs="Times New Roman"/>
          <w:sz w:val="24"/>
          <w:szCs w:val="24"/>
        </w:rPr>
        <w:t>Dadas as classes de enquadramento dos corpos d’água, as características naturais e d</w:t>
      </w:r>
      <w:r w:rsidR="00C842C8">
        <w:rPr>
          <w:rFonts w:ascii="Times New Roman" w:hAnsi="Times New Roman" w:cs="Times New Roman"/>
          <w:sz w:val="24"/>
          <w:szCs w:val="24"/>
        </w:rPr>
        <w:t>o</w:t>
      </w:r>
      <w:r w:rsidRPr="00A6093C">
        <w:rPr>
          <w:rFonts w:ascii="Times New Roman" w:hAnsi="Times New Roman" w:cs="Times New Roman"/>
          <w:sz w:val="24"/>
          <w:szCs w:val="24"/>
        </w:rPr>
        <w:t xml:space="preserve"> uso da água  </w:t>
      </w:r>
      <w:r w:rsidR="00C842C8">
        <w:rPr>
          <w:rFonts w:ascii="Times New Roman" w:hAnsi="Times New Roman" w:cs="Times New Roman"/>
          <w:sz w:val="24"/>
          <w:szCs w:val="24"/>
        </w:rPr>
        <w:t>de</w:t>
      </w:r>
      <w:r w:rsidRPr="00A6093C">
        <w:rPr>
          <w:rFonts w:ascii="Times New Roman" w:hAnsi="Times New Roman" w:cs="Times New Roman"/>
          <w:sz w:val="24"/>
          <w:szCs w:val="24"/>
        </w:rPr>
        <w:t xml:space="preserve"> cada uma das zonas, foram determinados</w:t>
      </w:r>
      <w:r w:rsidR="00C842C8">
        <w:rPr>
          <w:rFonts w:ascii="Times New Roman" w:hAnsi="Times New Roman" w:cs="Times New Roman"/>
          <w:sz w:val="24"/>
          <w:szCs w:val="24"/>
        </w:rPr>
        <w:t>, para o ano base do Plano PCJ,</w:t>
      </w:r>
      <w:r w:rsidRPr="00A6093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valores </w:t>
      </w:r>
      <w:r w:rsidRPr="00A6093C">
        <w:rPr>
          <w:rFonts w:ascii="Times New Roman" w:hAnsi="Times New Roman" w:cs="Times New Roman"/>
          <w:sz w:val="24"/>
          <w:szCs w:val="24"/>
        </w:rPr>
        <w:t>máximos de carga orgânica</w:t>
      </w:r>
      <w:r>
        <w:rPr>
          <w:rFonts w:ascii="Times New Roman" w:hAnsi="Times New Roman" w:cs="Times New Roman"/>
          <w:sz w:val="24"/>
          <w:szCs w:val="24"/>
        </w:rPr>
        <w:t xml:space="preserve"> (Kg DBO/dia)</w:t>
      </w:r>
      <w:r w:rsidRPr="00A6093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que podem ser alocados em cada uma das Zonas. </w:t>
      </w:r>
    </w:p>
    <w:tbl>
      <w:tblPr>
        <w:tblW w:w="5000" w:type="pct"/>
        <w:tblBorders>
          <w:bottom w:val="single" w:sz="12" w:space="0" w:color="auto"/>
          <w:insideH w:val="single" w:sz="4" w:space="0" w:color="auto"/>
        </w:tblBorders>
        <w:tblLook w:val="05A0"/>
      </w:tblPr>
      <w:tblGrid>
        <w:gridCol w:w="1449"/>
        <w:gridCol w:w="1449"/>
        <w:gridCol w:w="1448"/>
        <w:gridCol w:w="1448"/>
        <w:gridCol w:w="1448"/>
        <w:gridCol w:w="1448"/>
        <w:gridCol w:w="1448"/>
      </w:tblGrid>
      <w:tr w:rsidR="00A6093C" w:rsidRPr="000E37CA" w:rsidTr="006F420A">
        <w:trPr>
          <w:trHeight w:val="227"/>
        </w:trPr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Zonas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Carga Meta Alocável - CMA (kg/dia)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Carga Industrial (kg/dia)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Carga Doméstica (kg/dia)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Carga Difusa (kg/dia)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Carga Total Lançada (kg/dia)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SALDO (kg/dia)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3.287,9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12,3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1.449,1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66,8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1.528,2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1.759,7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2.198,2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346,4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29,1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375,5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1.822,7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940,1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155,7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5.205,1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28,5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5.389,3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-4.449,1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4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4.556,0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0,4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270,9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36,8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308,1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4.247,9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5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2.982,6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723,3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2.769,5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48,3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3.541,1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-558,5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6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1.301,5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750,1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49,7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25,2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824,9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476,6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7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731,7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179,5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1.054,0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127,8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1.361,3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-629,5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8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5.274,5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120,2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5.961,1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107,1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6.188,4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-913,9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9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4.215,6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237,9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5.586,3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133,7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5.957,9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-1.742,3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10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5.205,0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257,3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1.641,3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68,0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1.966,6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3.238,4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11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93,1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179,1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1.534,2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38,7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1.752,1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-1.658,9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12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654,7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378,2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8.362,3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66,9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8.807,4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-8.152,7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13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11.739,6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1.541,8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5.555,5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74,2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7.171,5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4.568,1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14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254,7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17,9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461,0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62,8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541,7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-287,0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15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1.256,2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355,3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3.857,8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13,3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4.226,4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-2.970,2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16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226,0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256,7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53,6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310,3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-84,4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17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1.146,2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856,5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45,4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901,9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244,4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18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80,7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15,9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700,1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59,9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775,9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-695,2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19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1.558,4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51,2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51,2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1.507,3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20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1.246,6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9,8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6.979,2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60,7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7.049,7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-5.803,1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21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2.958,0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2.303,9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1.622,5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69,7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3.996,1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-1.038,1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22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16.002,8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2.482,0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50.436,6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580,3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53.498,9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-37.496,2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23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137,8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52,6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12,1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64,7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73,1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24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4.573,7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272,4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77,5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349,9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4.223,8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25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3.398,9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284,0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46,0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329,9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3.069,0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26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8.727,5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54,1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183,0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237,1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8.490,4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27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41,5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6,3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6,3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35,2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28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285,9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620,8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1.833,0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22,4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2.476,2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-2.190,3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29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818,3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11,2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8.964,3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77,1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9.052,6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-8.234,3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30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196,0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500,6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25,0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525,7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-329,7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31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1.521,6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97,1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3.324,1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154,8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3.575,9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-2.054,3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32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225,1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38,7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38,7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186,4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33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116,6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174,9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10,0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184,9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-68,3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34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726,9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41,9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7.673,9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36,6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7.752,4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-7.025,6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35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895,8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89,3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939,2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40,6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1.069,1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-173,3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36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312,3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13,1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682,6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18,9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714,7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-402,4</w:t>
            </w:r>
          </w:p>
        </w:tc>
      </w:tr>
      <w:tr w:rsidR="00A6093C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37</w:t>
            </w:r>
          </w:p>
        </w:tc>
        <w:tc>
          <w:tcPr>
            <w:tcW w:w="714" w:type="pct"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2.258,8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20.691,7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9.464,5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30,5</w:t>
            </w:r>
          </w:p>
        </w:tc>
        <w:tc>
          <w:tcPr>
            <w:tcW w:w="714" w:type="pct"/>
            <w:noWrap/>
            <w:vAlign w:val="center"/>
          </w:tcPr>
          <w:p w:rsidR="00A6093C" w:rsidRPr="007962DD" w:rsidRDefault="00A6093C" w:rsidP="006F420A">
            <w:pPr>
              <w:pStyle w:val="Tabelas"/>
              <w:ind w:right="113"/>
              <w:jc w:val="right"/>
            </w:pPr>
            <w:r w:rsidRPr="007962DD">
              <w:t>30.186,7</w:t>
            </w:r>
          </w:p>
        </w:tc>
        <w:tc>
          <w:tcPr>
            <w:tcW w:w="714" w:type="pct"/>
            <w:noWrap/>
            <w:vAlign w:val="center"/>
          </w:tcPr>
          <w:p w:rsidR="00A6093C" w:rsidRPr="000E37CA" w:rsidRDefault="00A6093C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-27.927,9</w:t>
            </w:r>
          </w:p>
        </w:tc>
      </w:tr>
    </w:tbl>
    <w:p w:rsidR="00A6093C" w:rsidRDefault="00A6093C" w:rsidP="00A6093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Default="00C842C8" w:rsidP="00C842C8">
      <w:pPr>
        <w:pStyle w:val="PargrafodaLista"/>
        <w:numPr>
          <w:ilvl w:val="1"/>
          <w:numId w:val="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C842C8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Ano de 2014</w:t>
      </w:r>
    </w:p>
    <w:p w:rsidR="00C842C8" w:rsidRPr="00C842C8" w:rsidRDefault="00C842C8" w:rsidP="00C842C8">
      <w:pPr>
        <w:jc w:val="both"/>
        <w:rPr>
          <w:rFonts w:ascii="Times New Roman" w:hAnsi="Times New Roman" w:cs="Times New Roman"/>
          <w:sz w:val="24"/>
          <w:szCs w:val="24"/>
        </w:rPr>
      </w:pPr>
      <w:r w:rsidRPr="00C842C8">
        <w:rPr>
          <w:rFonts w:ascii="Times New Roman" w:hAnsi="Times New Roman" w:cs="Times New Roman"/>
          <w:sz w:val="24"/>
          <w:szCs w:val="24"/>
        </w:rPr>
        <w:t>Consideradas as intervenções e projeções que devem ocorrer nas bacias PCJ, os mesmos valores de carga orgânica foram determinados até o ano de 2014, conforme demonstrado a seguir.</w:t>
      </w:r>
    </w:p>
    <w:tbl>
      <w:tblPr>
        <w:tblW w:w="5000" w:type="pct"/>
        <w:tblBorders>
          <w:bottom w:val="single" w:sz="12" w:space="0" w:color="auto"/>
          <w:insideH w:val="single" w:sz="4" w:space="0" w:color="auto"/>
        </w:tblBorders>
        <w:tblLook w:val="05A0"/>
      </w:tblPr>
      <w:tblGrid>
        <w:gridCol w:w="1449"/>
        <w:gridCol w:w="1449"/>
        <w:gridCol w:w="1448"/>
        <w:gridCol w:w="1448"/>
        <w:gridCol w:w="1448"/>
        <w:gridCol w:w="1448"/>
        <w:gridCol w:w="1448"/>
      </w:tblGrid>
      <w:tr w:rsidR="00C842C8" w:rsidRPr="000E37CA" w:rsidTr="006F420A">
        <w:trPr>
          <w:trHeight w:val="227"/>
        </w:trPr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Zonas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Carga Meta Alocável - CMA (kg/dia)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Carga Industrial (kg/dia)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Carga Doméstica (kg/dia)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Carga Difusa (kg/dia)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Carga Total Lançada (kg/dia)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SALDO (kg/dia)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3.287,9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13,2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1.578,9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66,8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1.658,8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1.629,1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2.198,2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361,0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29,1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390,1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1.808,1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940,1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167,0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5.656,9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28,5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5.852,4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-4.912,2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4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4.556,0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0,4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330,2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36,8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367,5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4.188,5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5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2.982,6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775,6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2.914,9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48,3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3.738,8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-756,2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6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1.301,5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804,3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53,9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25,2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883,4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418,2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7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731,7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192,4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1.144,2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127,8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1.464,5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-732,7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8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5.274,5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128,9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6.470,7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107,1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6.706,7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-1.432,2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9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4.215,6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255,1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5.986,8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133,7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6.375,6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-2.160,1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10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5.205,0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275,9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2.074,2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68,0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2.418,2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2.786,9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11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93,1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192,1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1.957,7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38,7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2.188,5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-2.095,4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12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654,7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405,5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9.006,0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66,9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9.478,4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-8.823,8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13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11.739,6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1.653,3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6.212,8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74,2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7.940,3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3.799,3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14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254,7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19,2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505,6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62,8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587,6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-332,9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15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1.256,2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381,0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3.913,0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13,3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4.307,3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-3.051,1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16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226,0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275,7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53,6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329,3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-103,3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17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1.146,2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912,0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45,4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957,4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188,9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18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80,7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17,1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725,7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59,9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802,6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-721,9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19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1.558,4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51,2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51,2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1.507,3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20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1.246,6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10,5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7.252,4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60,7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7.323,6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-6.077,0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21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2.958,0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2.470,4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1.768,5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69,7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4.308,7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-1.350,6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22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16.002,8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2.661,4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55.428,7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580,3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58.670,5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-42.667,7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23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137,8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60,6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12,1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72,6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65,2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24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4.573,7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311,2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77,5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388,8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4.185,0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25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3.398,9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327,0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46,0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373,0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3.026,0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26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8.727,5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83,1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183,0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266,1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8.461,4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27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41,5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6,3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35,2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28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285,9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665,6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2.038,9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22,4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2.726,9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-2.441,1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29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818,3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12,0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9.759,5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77,1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9.848,6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-9.030,3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30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196,0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555,9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25,0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580,9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-384,9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31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1.521,6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104,1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3.612,8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154,8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3.871,6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-2.350,0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32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225,1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38,7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38,7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186,4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33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116,6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214,8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10,0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224,8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-108,2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34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726,9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44,9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8.649,3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36,6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8.730,9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-8.004,0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35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895,8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95,7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1.075,7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40,6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1.212,0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-316,2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36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312,3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14,1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840,6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18,9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873,6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-561,3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37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2.258,8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22.187,4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10.764,9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30,5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32.982,8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-30.724,0</w:t>
            </w:r>
          </w:p>
        </w:tc>
      </w:tr>
    </w:tbl>
    <w:p w:rsidR="00C842C8" w:rsidRPr="00C842C8" w:rsidRDefault="00C842C8" w:rsidP="00C842C8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6093C" w:rsidRPr="00A6093C" w:rsidRDefault="00A6093C" w:rsidP="00A6093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6093C" w:rsidRPr="00C842C8" w:rsidRDefault="00C842C8" w:rsidP="00C842C8">
      <w:pPr>
        <w:pStyle w:val="PargrafodaLista"/>
        <w:numPr>
          <w:ilvl w:val="1"/>
          <w:numId w:val="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</w:t>
      </w:r>
      <w:r w:rsidRPr="00C842C8">
        <w:rPr>
          <w:rFonts w:ascii="Times New Roman" w:hAnsi="Times New Roman" w:cs="Times New Roman"/>
          <w:b/>
          <w:sz w:val="24"/>
          <w:szCs w:val="24"/>
        </w:rPr>
        <w:t>Ano de 2020</w:t>
      </w:r>
    </w:p>
    <w:p w:rsidR="00C842C8" w:rsidRDefault="00C842C8" w:rsidP="00C842C8">
      <w:pPr>
        <w:jc w:val="both"/>
        <w:rPr>
          <w:rFonts w:ascii="Times New Roman" w:hAnsi="Times New Roman" w:cs="Times New Roman"/>
          <w:sz w:val="24"/>
          <w:szCs w:val="24"/>
        </w:rPr>
      </w:pPr>
      <w:r w:rsidRPr="00C842C8">
        <w:rPr>
          <w:rFonts w:ascii="Times New Roman" w:hAnsi="Times New Roman" w:cs="Times New Roman"/>
          <w:sz w:val="24"/>
          <w:szCs w:val="24"/>
        </w:rPr>
        <w:t>Consideradas as intervenções e projeções que devem ocorrer nas bacias PCJ, os mesmos valores de carga orgânica foram determinados até o ano de 20</w:t>
      </w:r>
      <w:r>
        <w:rPr>
          <w:rFonts w:ascii="Times New Roman" w:hAnsi="Times New Roman" w:cs="Times New Roman"/>
          <w:sz w:val="24"/>
          <w:szCs w:val="24"/>
        </w:rPr>
        <w:t>20</w:t>
      </w:r>
      <w:r w:rsidRPr="00C842C8">
        <w:rPr>
          <w:rFonts w:ascii="Times New Roman" w:hAnsi="Times New Roman" w:cs="Times New Roman"/>
          <w:sz w:val="24"/>
          <w:szCs w:val="24"/>
        </w:rPr>
        <w:t>, conforme demonstrado a seguir.</w:t>
      </w:r>
    </w:p>
    <w:tbl>
      <w:tblPr>
        <w:tblW w:w="5000" w:type="pct"/>
        <w:tblBorders>
          <w:bottom w:val="single" w:sz="12" w:space="0" w:color="auto"/>
          <w:insideH w:val="single" w:sz="4" w:space="0" w:color="auto"/>
        </w:tblBorders>
        <w:tblLook w:val="05A0"/>
      </w:tblPr>
      <w:tblGrid>
        <w:gridCol w:w="1449"/>
        <w:gridCol w:w="1449"/>
        <w:gridCol w:w="1448"/>
        <w:gridCol w:w="1448"/>
        <w:gridCol w:w="1448"/>
        <w:gridCol w:w="1448"/>
        <w:gridCol w:w="1448"/>
      </w:tblGrid>
      <w:tr w:rsidR="00C842C8" w:rsidRPr="000E37CA" w:rsidTr="006F420A">
        <w:trPr>
          <w:trHeight w:val="227"/>
        </w:trPr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Zonas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Carga Meta Alocável - CMA (kg/dia)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Carga Industrial (kg/dia)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Carga Doméstica (kg/dia)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Carga Difusa (kg/dia)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Carga Total Lançada (kg/dia)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SALDO (kg/dia)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3.287,9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14,1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1.649,1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66,8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1.730,0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1.557,9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2.198,2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369,6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29,1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398,7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1.799,5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940,1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179,0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6.072,5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28,5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6.280,1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-5.339,9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4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4.556,0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0,4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377,7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36,8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415,0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4.141,0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5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2.982,6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831,7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3.080,7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48,3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3.960,7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-978,1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6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1.301,5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862,4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57,5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25,2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945,1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356,4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7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731,7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206,3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1.206,8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127,8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1.541,0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-809,2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8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5.274,5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138,3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6.850,3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107,1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7.095,7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-1.821,2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9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4.215,6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273,5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6.336,5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133,7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6.743,7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-2.528,2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10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5.205,0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295,9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2.492,9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68,0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2.856,8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2.348,2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11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93,1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206,0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2.209,1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38,7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2.453,8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-2.360,7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12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654,7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434,8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9.501,0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66,9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10.002,7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-9.348,1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13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11.739,6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1.772,8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6.583,7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74,2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8.430,7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3.308,9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14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254,7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20,6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535,4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62,8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618,7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-364,0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15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1.256,2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408,5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3.955,3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13,3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4.377,2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-3.121,0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16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226,0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290,1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53,6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343,7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-117,7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17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1.146,2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951,3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45,4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996,7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149,5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18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80,7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18,3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738,6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59,9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816,8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-736,0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19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1.558,4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51,2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51,2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1.507,3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20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1.246,6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11,2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7.408,6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60,7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7.480,5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-6.233,9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21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2.958,0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2.649,0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1.886,4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69,7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4.605,2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-1.647,2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22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16.002,8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2.853,8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59.137,4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580,3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62.571,5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-46.568,7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23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137,8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66,9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12,1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79,0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58,8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24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4.573,7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347,9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77,5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425,5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4.148,3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25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3.398,9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361,3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46,0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407,3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2.991,7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26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8.727,5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108,3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183,0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291,3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8.436,2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27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41,5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6,3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35,2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28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285,9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713,8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2.176,3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22,4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2.912,5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-2.626,6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29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818,3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12,9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10.370,9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77,1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10.460,9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-9.642,6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30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196,0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595,9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25,0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620,9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-424,9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31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1.521,6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111,6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3.903,7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154,8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4.170,1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-2.648,5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32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225,1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38,7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38,7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186,4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33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116,6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256,3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10,0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266,4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-149,7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34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726,9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48,2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9.484,5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36,6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9.569,3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-8.842,4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35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895,8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102,6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1.161,2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40,6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1.304,4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-408,7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36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312,3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15,1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986,3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18,9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1.020,4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-708,1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37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2.258,8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23.791,2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11.762,5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30,5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35.584,3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-33.325,5</w:t>
            </w:r>
          </w:p>
        </w:tc>
      </w:tr>
    </w:tbl>
    <w:p w:rsidR="00C842C8" w:rsidRDefault="00C842C8" w:rsidP="00C842C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C842C8" w:rsidRDefault="00C842C8" w:rsidP="00C842C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C842C8" w:rsidRDefault="00C842C8" w:rsidP="00C842C8">
      <w:pPr>
        <w:pStyle w:val="PargrafodaLista"/>
        <w:numPr>
          <w:ilvl w:val="1"/>
          <w:numId w:val="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C842C8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Ano de 2035</w:t>
      </w:r>
    </w:p>
    <w:p w:rsidR="00C842C8" w:rsidRDefault="00C842C8" w:rsidP="00C842C8">
      <w:pPr>
        <w:jc w:val="both"/>
        <w:rPr>
          <w:rFonts w:ascii="Times New Roman" w:hAnsi="Times New Roman" w:cs="Times New Roman"/>
          <w:sz w:val="24"/>
          <w:szCs w:val="24"/>
        </w:rPr>
      </w:pPr>
      <w:r w:rsidRPr="00C842C8">
        <w:rPr>
          <w:rFonts w:ascii="Times New Roman" w:hAnsi="Times New Roman" w:cs="Times New Roman"/>
          <w:sz w:val="24"/>
          <w:szCs w:val="24"/>
        </w:rPr>
        <w:t>Consideradas as intervenções e projeções que devem ocorrer nas bacias PCJ, os mesmos valores de carga orgânica foram determinados até o ano de 20</w:t>
      </w:r>
      <w:r>
        <w:rPr>
          <w:rFonts w:ascii="Times New Roman" w:hAnsi="Times New Roman" w:cs="Times New Roman"/>
          <w:sz w:val="24"/>
          <w:szCs w:val="24"/>
        </w:rPr>
        <w:t>35, onde se pretende atendimento completo das metas de enquadramento dos corpos d’água nas bacias PCJ</w:t>
      </w:r>
      <w:r w:rsidRPr="00C842C8">
        <w:rPr>
          <w:rFonts w:ascii="Times New Roman" w:hAnsi="Times New Roman" w:cs="Times New Roman"/>
          <w:sz w:val="24"/>
          <w:szCs w:val="24"/>
        </w:rPr>
        <w:t>, conforme demonstrado a seguir.</w:t>
      </w:r>
    </w:p>
    <w:tbl>
      <w:tblPr>
        <w:tblW w:w="5000" w:type="pct"/>
        <w:tblBorders>
          <w:bottom w:val="single" w:sz="12" w:space="0" w:color="auto"/>
          <w:insideH w:val="single" w:sz="4" w:space="0" w:color="auto"/>
        </w:tblBorders>
        <w:tblLook w:val="05A0"/>
      </w:tblPr>
      <w:tblGrid>
        <w:gridCol w:w="1449"/>
        <w:gridCol w:w="1449"/>
        <w:gridCol w:w="1448"/>
        <w:gridCol w:w="1448"/>
        <w:gridCol w:w="1448"/>
        <w:gridCol w:w="1448"/>
        <w:gridCol w:w="1448"/>
      </w:tblGrid>
      <w:tr w:rsidR="00C842C8" w:rsidRPr="000E37CA" w:rsidTr="006F420A">
        <w:trPr>
          <w:trHeight w:val="227"/>
        </w:trPr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Zonas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Carga Meta Alocável - CMA (kg/dia)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Carga Industrial (kg/dia)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Carga Doméstica (kg/dia)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Carga Difusa (kg/dia)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Carga Total Lançada (kg/dia)</w:t>
            </w:r>
          </w:p>
        </w:tc>
        <w:tc>
          <w:tcPr>
            <w:tcW w:w="714" w:type="pct"/>
            <w:tcBorders>
              <w:top w:val="single" w:sz="4" w:space="0" w:color="FFFFFF"/>
              <w:left w:val="nil"/>
              <w:bottom w:val="single" w:sz="4" w:space="0" w:color="FFFFFF"/>
              <w:right w:val="nil"/>
              <w:tl2br w:val="nil"/>
              <w:tr2bl w:val="nil"/>
            </w:tcBorders>
            <w:shd w:val="clear" w:color="auto" w:fill="333399"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  <w:color w:val="FFFFFF"/>
              </w:rPr>
            </w:pPr>
            <w:r w:rsidRPr="000E37CA">
              <w:rPr>
                <w:b/>
                <w:color w:val="FFFFFF"/>
              </w:rPr>
              <w:t>SALDO (kg/dia)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3.287,9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16,7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168,1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66,8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251,7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3.036,3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2.198,2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51,6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29,1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80,7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2.117,5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940,1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213,2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612,7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28,5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854,4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85,7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4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4.556,0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0,5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66,0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36,8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103,4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4.452,6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5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2.982,6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990,2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96,2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48,3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1.134,7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1.847,9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6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1.301,5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1.026,8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179,0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25,2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1.231,0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70,6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7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731,7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245,7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82,3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127,8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455,8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276,0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8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5.274,5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164,6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693,4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107,1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965,1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4.309,5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9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4.215,6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325,6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668,6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133,7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1.127,9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3.087,6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10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5.205,0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352,3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482,4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68,0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902,7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4.302,3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11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93,1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245,2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398,4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38,7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682,4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-589,3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12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654,7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517,7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2.175,3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66,9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2.760,0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-2.105,3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13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11.739,6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2.110,7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1.038,0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74,2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3.223,0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8.516,6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14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254,7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24,5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12,7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62,8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99,9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154,8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15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1.256,2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486,4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700,3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13,3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1.200,1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56,1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16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226,0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53,6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59,8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166,2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17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1.146,2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39,0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45,4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84,4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1.061,8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18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80,7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21,8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11,0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59,9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92,7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-11,9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19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1.558,4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51,2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51,2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1.507,3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20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1.246,6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13,4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710,7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60,7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784,8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461,8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21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2.958,0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3.154,0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51,5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69,7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3.275,2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-317,2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22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16.002,8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3.397,8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5.378,3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580,3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9.356,4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6.646,3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23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137,8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12,1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15,2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122,6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24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4.573,7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73,7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77,5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151,2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4.422,5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25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3.398,9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117,9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46,0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163,8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3.235,1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26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8.727,5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24,5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183,0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207,5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8.519,9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27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41,5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6,3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35,2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28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285,9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849,8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349,2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22,4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1.221,4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-935,5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29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818,3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15,4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1.694,0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77,1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1.786,5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-968,2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30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196,0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13,6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25,0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38,6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157,4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31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1.521,6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132,9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444,1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154,8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731,7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789,9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32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225,1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38,7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38,7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186,4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33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116,6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-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64,8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10,0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74,8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41,8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34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726,9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57,4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930,5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36,6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1.024,4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-297,6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35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895,8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122,2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1.114,6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40,6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1.277,4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-381,6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36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312,3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18,0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128,9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18,9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165,8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146,5</w:t>
            </w:r>
          </w:p>
        </w:tc>
      </w:tr>
      <w:tr w:rsidR="00C842C8" w:rsidRPr="000E37CA" w:rsidTr="006F420A">
        <w:trPr>
          <w:trHeight w:val="227"/>
        </w:trPr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rPr>
                <w:b/>
              </w:rPr>
            </w:pPr>
            <w:r w:rsidRPr="000E37CA">
              <w:rPr>
                <w:b/>
              </w:rPr>
              <w:t>37</w:t>
            </w:r>
          </w:p>
        </w:tc>
        <w:tc>
          <w:tcPr>
            <w:tcW w:w="714" w:type="pct"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2.258,8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28.326,5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1.031,7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30,5</w:t>
            </w:r>
          </w:p>
        </w:tc>
        <w:tc>
          <w:tcPr>
            <w:tcW w:w="714" w:type="pct"/>
            <w:noWrap/>
            <w:vAlign w:val="center"/>
          </w:tcPr>
          <w:p w:rsidR="00C842C8" w:rsidRPr="007962DD" w:rsidRDefault="00C842C8" w:rsidP="006F420A">
            <w:pPr>
              <w:pStyle w:val="Tabelas"/>
              <w:ind w:right="113"/>
              <w:jc w:val="right"/>
            </w:pPr>
            <w:r w:rsidRPr="007962DD">
              <w:t>29.388,7</w:t>
            </w:r>
          </w:p>
        </w:tc>
        <w:tc>
          <w:tcPr>
            <w:tcW w:w="714" w:type="pct"/>
            <w:noWrap/>
            <w:vAlign w:val="center"/>
          </w:tcPr>
          <w:p w:rsidR="00C842C8" w:rsidRPr="000E37CA" w:rsidRDefault="00C842C8" w:rsidP="006F420A">
            <w:pPr>
              <w:pStyle w:val="Tabelas"/>
              <w:ind w:right="113"/>
              <w:jc w:val="right"/>
              <w:rPr>
                <w:b/>
              </w:rPr>
            </w:pPr>
            <w:r w:rsidRPr="000E37CA">
              <w:rPr>
                <w:b/>
              </w:rPr>
              <w:t>-27.129,9</w:t>
            </w:r>
          </w:p>
        </w:tc>
      </w:tr>
    </w:tbl>
    <w:p w:rsidR="00A6093C" w:rsidRPr="001F3EA3" w:rsidRDefault="00A6093C" w:rsidP="001F3EA3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A6093C" w:rsidRPr="001F3EA3" w:rsidSect="001C328B">
      <w:pgSz w:w="11906" w:h="16838"/>
      <w:pgMar w:top="1418" w:right="992" w:bottom="1418" w:left="992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C65E7" w:rsidRDefault="000C65E7" w:rsidP="0044171F">
      <w:pPr>
        <w:spacing w:after="0" w:line="240" w:lineRule="auto"/>
      </w:pPr>
      <w:r>
        <w:separator/>
      </w:r>
    </w:p>
  </w:endnote>
  <w:endnote w:type="continuationSeparator" w:id="0">
    <w:p w:rsidR="000C65E7" w:rsidRDefault="000C65E7" w:rsidP="004417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954235"/>
      <w:docPartObj>
        <w:docPartGallery w:val="Page Numbers (Bottom of Page)"/>
        <w:docPartUnique/>
      </w:docPartObj>
    </w:sdtPr>
    <w:sdtContent>
      <w:p w:rsidR="0044171F" w:rsidRDefault="00364742">
        <w:pPr>
          <w:pStyle w:val="Rodap"/>
          <w:jc w:val="right"/>
        </w:pPr>
        <w:fldSimple w:instr=" PAGE   \* MERGEFORMAT ">
          <w:r w:rsidR="00292E8D">
            <w:rPr>
              <w:noProof/>
            </w:rPr>
            <w:t>2</w:t>
          </w:r>
        </w:fldSimple>
      </w:p>
    </w:sdtContent>
  </w:sdt>
  <w:p w:rsidR="0044171F" w:rsidRDefault="0044171F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C65E7" w:rsidRDefault="000C65E7" w:rsidP="0044171F">
      <w:pPr>
        <w:spacing w:after="0" w:line="240" w:lineRule="auto"/>
      </w:pPr>
      <w:r>
        <w:separator/>
      </w:r>
    </w:p>
  </w:footnote>
  <w:footnote w:type="continuationSeparator" w:id="0">
    <w:p w:rsidR="000C65E7" w:rsidRDefault="000C65E7" w:rsidP="0044171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717C1D"/>
    <w:multiLevelType w:val="multilevel"/>
    <w:tmpl w:val="AB1E411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7575C"/>
    <w:rsid w:val="000C65E7"/>
    <w:rsid w:val="001C328B"/>
    <w:rsid w:val="001F3EA3"/>
    <w:rsid w:val="00292E8D"/>
    <w:rsid w:val="00364742"/>
    <w:rsid w:val="0044171F"/>
    <w:rsid w:val="004D489B"/>
    <w:rsid w:val="00626317"/>
    <w:rsid w:val="00750681"/>
    <w:rsid w:val="00812A36"/>
    <w:rsid w:val="00886918"/>
    <w:rsid w:val="00954149"/>
    <w:rsid w:val="0097575C"/>
    <w:rsid w:val="00A6093C"/>
    <w:rsid w:val="00C842C8"/>
    <w:rsid w:val="00D25EEB"/>
    <w:rsid w:val="00E91936"/>
    <w:rsid w:val="00EB7695"/>
    <w:rsid w:val="00F51F90"/>
    <w:rsid w:val="00F741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B7695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E91936"/>
    <w:rPr>
      <w:color w:val="0000FF" w:themeColor="hyperlink"/>
      <w:u w:val="single"/>
    </w:rPr>
  </w:style>
  <w:style w:type="paragraph" w:styleId="PargrafodaLista">
    <w:name w:val="List Paragraph"/>
    <w:basedOn w:val="Normal"/>
    <w:uiPriority w:val="34"/>
    <w:qFormat/>
    <w:rsid w:val="001F3EA3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1F3E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F3EA3"/>
    <w:rPr>
      <w:rFonts w:ascii="Tahoma" w:hAnsi="Tahoma" w:cs="Tahoma"/>
      <w:sz w:val="16"/>
      <w:szCs w:val="16"/>
    </w:rPr>
  </w:style>
  <w:style w:type="paragraph" w:styleId="Legenda">
    <w:name w:val="caption"/>
    <w:basedOn w:val="Normal"/>
    <w:next w:val="Normal"/>
    <w:uiPriority w:val="35"/>
    <w:qFormat/>
    <w:rsid w:val="001C328B"/>
    <w:pPr>
      <w:spacing w:before="240" w:after="120" w:line="240" w:lineRule="auto"/>
      <w:jc w:val="center"/>
    </w:pPr>
    <w:rPr>
      <w:rFonts w:ascii="Arial" w:eastAsia="MS Mincho" w:hAnsi="Arial" w:cs="Arial"/>
      <w:b/>
      <w:bCs/>
      <w:sz w:val="20"/>
      <w:szCs w:val="18"/>
    </w:rPr>
  </w:style>
  <w:style w:type="paragraph" w:customStyle="1" w:styleId="Tabelas">
    <w:name w:val="Tabelas"/>
    <w:basedOn w:val="Normal"/>
    <w:next w:val="Normal"/>
    <w:uiPriority w:val="5"/>
    <w:qFormat/>
    <w:rsid w:val="00A6093C"/>
    <w:pPr>
      <w:spacing w:before="40" w:after="40" w:line="240" w:lineRule="auto"/>
      <w:jc w:val="center"/>
    </w:pPr>
    <w:rPr>
      <w:rFonts w:ascii="Arial" w:eastAsia="MS Mincho" w:hAnsi="Arial" w:cs="Arial"/>
      <w:sz w:val="18"/>
    </w:rPr>
  </w:style>
  <w:style w:type="paragraph" w:styleId="Cabealho">
    <w:name w:val="header"/>
    <w:basedOn w:val="Normal"/>
    <w:link w:val="CabealhoChar"/>
    <w:uiPriority w:val="99"/>
    <w:semiHidden/>
    <w:unhideWhenUsed/>
    <w:rsid w:val="0044171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semiHidden/>
    <w:rsid w:val="0044171F"/>
  </w:style>
  <w:style w:type="paragraph" w:styleId="Rodap">
    <w:name w:val="footer"/>
    <w:basedOn w:val="Normal"/>
    <w:link w:val="RodapChar"/>
    <w:uiPriority w:val="99"/>
    <w:unhideWhenUsed/>
    <w:rsid w:val="0044171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4171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1464</Words>
  <Characters>7909</Characters>
  <Application>Microsoft Office Word</Application>
  <DocSecurity>0</DocSecurity>
  <Lines>65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Agência PCJ</Company>
  <LinksUpToDate>false</LinksUpToDate>
  <CharactersWithSpaces>9355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Eduado Léo</dc:creator>
  <cp:lastModifiedBy>elaine</cp:lastModifiedBy>
  <cp:revision>2</cp:revision>
  <dcterms:created xsi:type="dcterms:W3CDTF">2011-10-07T15:02:00Z</dcterms:created>
  <dcterms:modified xsi:type="dcterms:W3CDTF">2011-10-07T15:02:00Z</dcterms:modified>
</cp:coreProperties>
</file>